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52D0B" w14:textId="4BA44BAF" w:rsidR="00D1450A" w:rsidRDefault="00D1450A">
      <w:r>
        <w:t>Evaluering HVIL-projekt</w:t>
      </w:r>
    </w:p>
    <w:p w14:paraId="2EE7BAE1" w14:textId="77777777" w:rsidR="00D1450A" w:rsidRPr="00D1450A" w:rsidRDefault="00D1450A" w:rsidP="00D1450A">
      <w:pPr>
        <w:rPr>
          <w:color w:val="747474" w:themeColor="background2" w:themeShade="80"/>
        </w:rPr>
      </w:pPr>
      <w:r w:rsidRPr="00D1450A">
        <w:rPr>
          <w:color w:val="747474" w:themeColor="background2" w:themeShade="80"/>
        </w:rPr>
        <w:t xml:space="preserve">Evalueringen viser, at </w:t>
      </w:r>
      <w:r w:rsidRPr="00D1450A">
        <w:rPr>
          <w:b/>
          <w:bCs/>
          <w:color w:val="747474" w:themeColor="background2" w:themeShade="80"/>
        </w:rPr>
        <w:t>259 borgere har gennemført et forløb med HVIL i år 1</w:t>
      </w:r>
      <w:r w:rsidRPr="00D1450A">
        <w:rPr>
          <w:color w:val="747474" w:themeColor="background2" w:themeShade="80"/>
        </w:rPr>
        <w:t xml:space="preserve">, og at </w:t>
      </w:r>
      <w:r w:rsidRPr="00D1450A">
        <w:rPr>
          <w:b/>
          <w:bCs/>
          <w:color w:val="747474" w:themeColor="background2" w:themeShade="80"/>
        </w:rPr>
        <w:t>41,7 % af disse (svarende til ca. 106 personer)</w:t>
      </w:r>
      <w:r w:rsidRPr="00D1450A">
        <w:rPr>
          <w:color w:val="747474" w:themeColor="background2" w:themeShade="80"/>
        </w:rPr>
        <w:t xml:space="preserve"> har haft dokumenteret klinisk effekt af forløbet. </w:t>
      </w:r>
    </w:p>
    <w:p w14:paraId="0AF90ED3" w14:textId="77777777" w:rsidR="00D1450A" w:rsidRPr="00D1450A" w:rsidRDefault="00D1450A" w:rsidP="00D1450A">
      <w:pPr>
        <w:rPr>
          <w:color w:val="747474" w:themeColor="background2" w:themeShade="80"/>
        </w:rPr>
      </w:pPr>
      <w:r w:rsidRPr="00D1450A">
        <w:rPr>
          <w:color w:val="747474" w:themeColor="background2" w:themeShade="80"/>
        </w:rPr>
        <w:t xml:space="preserve">Sammenlignet med den oprindelige antagelse om 350 deltagere, hvor 120 skulle have gavn for at sikre en positiv businesscase, er </w:t>
      </w:r>
      <w:r w:rsidRPr="00D1450A">
        <w:rPr>
          <w:b/>
          <w:bCs/>
          <w:color w:val="747474" w:themeColor="background2" w:themeShade="80"/>
        </w:rPr>
        <w:t>det faktiske antal borgere med klinisk effekt (106 personer) kun lidt lavere end estimatet</w:t>
      </w:r>
      <w:r w:rsidRPr="00D1450A">
        <w:rPr>
          <w:color w:val="747474" w:themeColor="background2" w:themeShade="80"/>
        </w:rPr>
        <w:t xml:space="preserve">, men </w:t>
      </w:r>
      <w:r w:rsidRPr="00D1450A">
        <w:rPr>
          <w:b/>
          <w:bCs/>
          <w:color w:val="747474" w:themeColor="background2" w:themeShade="80"/>
        </w:rPr>
        <w:t>det samlede antal deltagere (259) er også lavere</w:t>
      </w:r>
      <w:r w:rsidRPr="00D1450A">
        <w:rPr>
          <w:color w:val="747474" w:themeColor="background2" w:themeShade="80"/>
        </w:rPr>
        <w:t>. </w:t>
      </w:r>
    </w:p>
    <w:p w14:paraId="0FBA7A44" w14:textId="77777777" w:rsidR="00D1450A" w:rsidRPr="00D1450A" w:rsidRDefault="00D1450A" w:rsidP="00D1450A">
      <w:pPr>
        <w:rPr>
          <w:color w:val="747474" w:themeColor="background2" w:themeShade="80"/>
        </w:rPr>
      </w:pPr>
      <w:r w:rsidRPr="00D1450A">
        <w:rPr>
          <w:color w:val="747474" w:themeColor="background2" w:themeShade="80"/>
        </w:rPr>
        <w:t xml:space="preserve">Med en omkostning på 3.692 kr. pr. Borger (259), udgør den samlede udgift og dermed potentielle besparelse i år 1 ca. </w:t>
      </w:r>
      <w:r w:rsidRPr="00D1450A">
        <w:rPr>
          <w:b/>
          <w:bCs/>
          <w:color w:val="747474" w:themeColor="background2" w:themeShade="80"/>
        </w:rPr>
        <w:t>956.228 kr.</w:t>
      </w:r>
      <w:r w:rsidRPr="00D1450A">
        <w:rPr>
          <w:color w:val="747474" w:themeColor="background2" w:themeShade="80"/>
        </w:rPr>
        <w:t> </w:t>
      </w:r>
    </w:p>
    <w:p w14:paraId="35CCA1D0" w14:textId="77777777" w:rsidR="00D1450A" w:rsidRDefault="00D1450A" w:rsidP="00D1450A">
      <w:pPr>
        <w:rPr>
          <w:b/>
          <w:bCs/>
          <w:color w:val="747474" w:themeColor="background2" w:themeShade="80"/>
        </w:rPr>
      </w:pPr>
    </w:p>
    <w:p w14:paraId="7FF12C5C" w14:textId="420ADCFD" w:rsidR="00D1450A" w:rsidRPr="00D1450A" w:rsidRDefault="00D1450A" w:rsidP="00D1450A">
      <w:pPr>
        <w:rPr>
          <w:color w:val="747474" w:themeColor="background2" w:themeShade="80"/>
        </w:rPr>
      </w:pPr>
      <w:r w:rsidRPr="00D1450A">
        <w:rPr>
          <w:b/>
          <w:bCs/>
          <w:color w:val="747474" w:themeColor="background2" w:themeShade="80"/>
        </w:rPr>
        <w:t>Vurdering af økonomisk potentiale</w:t>
      </w:r>
      <w:r w:rsidRPr="00D1450A">
        <w:rPr>
          <w:color w:val="747474" w:themeColor="background2" w:themeShade="80"/>
        </w:rPr>
        <w:t> </w:t>
      </w:r>
    </w:p>
    <w:p w14:paraId="623FC553" w14:textId="61DCD212" w:rsidR="00D1450A" w:rsidRPr="00D1450A" w:rsidRDefault="00D1450A" w:rsidP="00D1450A">
      <w:pPr>
        <w:rPr>
          <w:color w:val="747474" w:themeColor="background2" w:themeShade="80"/>
        </w:rPr>
      </w:pPr>
      <w:r>
        <w:rPr>
          <w:color w:val="747474" w:themeColor="background2" w:themeShade="80"/>
        </w:rPr>
        <w:t>Investeringen kan vise sig at være omkostningseffektiv, h</w:t>
      </w:r>
      <w:r w:rsidRPr="00D1450A">
        <w:rPr>
          <w:color w:val="747474" w:themeColor="background2" w:themeShade="80"/>
        </w:rPr>
        <w:t>vis blot en andel af de 106 borgere med dokumenteret effekt: </w:t>
      </w:r>
    </w:p>
    <w:p w14:paraId="4381DD64" w14:textId="77777777" w:rsidR="00D1450A" w:rsidRPr="00D1450A" w:rsidRDefault="00D1450A" w:rsidP="00D1450A">
      <w:pPr>
        <w:numPr>
          <w:ilvl w:val="0"/>
          <w:numId w:val="1"/>
        </w:numPr>
        <w:spacing w:line="259" w:lineRule="auto"/>
        <w:rPr>
          <w:color w:val="747474" w:themeColor="background2" w:themeShade="80"/>
        </w:rPr>
      </w:pPr>
      <w:r w:rsidRPr="00D1450A">
        <w:rPr>
          <w:color w:val="747474" w:themeColor="background2" w:themeShade="80"/>
        </w:rPr>
        <w:t>reducerer sygefravær, </w:t>
      </w:r>
    </w:p>
    <w:p w14:paraId="68170FCE" w14:textId="77777777" w:rsidR="00D1450A" w:rsidRPr="00D1450A" w:rsidRDefault="00D1450A" w:rsidP="00D1450A">
      <w:pPr>
        <w:numPr>
          <w:ilvl w:val="0"/>
          <w:numId w:val="2"/>
        </w:numPr>
        <w:spacing w:line="259" w:lineRule="auto"/>
        <w:rPr>
          <w:color w:val="747474" w:themeColor="background2" w:themeShade="80"/>
        </w:rPr>
      </w:pPr>
      <w:r w:rsidRPr="00D1450A">
        <w:rPr>
          <w:color w:val="747474" w:themeColor="background2" w:themeShade="80"/>
        </w:rPr>
        <w:t>forbedrer deres arbejdsevne, </w:t>
      </w:r>
    </w:p>
    <w:p w14:paraId="57C640CE" w14:textId="77777777" w:rsidR="00D1450A" w:rsidRPr="00D1450A" w:rsidRDefault="00D1450A" w:rsidP="00D1450A">
      <w:pPr>
        <w:numPr>
          <w:ilvl w:val="0"/>
          <w:numId w:val="3"/>
        </w:numPr>
        <w:spacing w:line="259" w:lineRule="auto"/>
        <w:rPr>
          <w:color w:val="747474" w:themeColor="background2" w:themeShade="80"/>
        </w:rPr>
      </w:pPr>
      <w:r w:rsidRPr="00D1450A">
        <w:rPr>
          <w:color w:val="747474" w:themeColor="background2" w:themeShade="80"/>
        </w:rPr>
        <w:t>mindsker behov for pleje og støtte, </w:t>
      </w:r>
    </w:p>
    <w:p w14:paraId="6BB0F90C" w14:textId="77777777" w:rsidR="00D1450A" w:rsidRPr="00D1450A" w:rsidRDefault="00D1450A" w:rsidP="00D1450A">
      <w:pPr>
        <w:numPr>
          <w:ilvl w:val="0"/>
          <w:numId w:val="4"/>
        </w:numPr>
        <w:spacing w:line="259" w:lineRule="auto"/>
        <w:rPr>
          <w:color w:val="747474" w:themeColor="background2" w:themeShade="80"/>
        </w:rPr>
      </w:pPr>
      <w:r w:rsidRPr="00D1450A">
        <w:rPr>
          <w:color w:val="747474" w:themeColor="background2" w:themeShade="80"/>
        </w:rPr>
        <w:t>eller forebygger sygdom (fx hjertekarsygdom eller demens), </w:t>
      </w:r>
    </w:p>
    <w:p w14:paraId="4F4F3B39" w14:textId="77777777" w:rsidR="00D1450A" w:rsidRDefault="00D1450A" w:rsidP="00D1450A">
      <w:pPr>
        <w:rPr>
          <w:color w:val="747474" w:themeColor="background2" w:themeShade="80"/>
        </w:rPr>
      </w:pPr>
    </w:p>
    <w:p w14:paraId="1CD2973D" w14:textId="702D16EB" w:rsidR="00D1450A" w:rsidRPr="00D1450A" w:rsidRDefault="00D1450A" w:rsidP="00D1450A">
      <w:pPr>
        <w:rPr>
          <w:color w:val="747474" w:themeColor="background2" w:themeShade="80"/>
        </w:rPr>
      </w:pPr>
      <w:r w:rsidRPr="00D1450A">
        <w:rPr>
          <w:color w:val="747474" w:themeColor="background2" w:themeShade="80"/>
        </w:rPr>
        <w:t xml:space="preserve">F.eks. svarer det til, at færre indlæggelser hos blot få borgere </w:t>
      </w:r>
      <w:r>
        <w:rPr>
          <w:color w:val="747474" w:themeColor="background2" w:themeShade="80"/>
        </w:rPr>
        <w:t xml:space="preserve">eller </w:t>
      </w:r>
      <w:r w:rsidRPr="00D1450A">
        <w:rPr>
          <w:color w:val="747474" w:themeColor="background2" w:themeShade="80"/>
        </w:rPr>
        <w:t>én undgået førtidspension hurtigt kan overstige den samlede investering. Forskning viser desuden, at håndtering af søvnproblemer på arbejdspladsen kan reducere sygefraværet med op til 28 % (13), og en stor andel af udgifterne til søvnproblemer relaterer sig til nedsat produktivitet (12). </w:t>
      </w:r>
    </w:p>
    <w:p w14:paraId="5600AFF0" w14:textId="77777777" w:rsidR="00D1450A" w:rsidRPr="00D1450A" w:rsidRDefault="00D1450A" w:rsidP="00D1450A">
      <w:pPr>
        <w:rPr>
          <w:b/>
          <w:bCs/>
          <w:color w:val="747474" w:themeColor="background2" w:themeShade="80"/>
        </w:rPr>
      </w:pPr>
      <w:r w:rsidRPr="00D1450A">
        <w:rPr>
          <w:b/>
          <w:bCs/>
          <w:color w:val="747474" w:themeColor="background2" w:themeShade="80"/>
        </w:rPr>
        <w:t>Erfaringer og justeringer af forudsætninger i business case </w:t>
      </w:r>
    </w:p>
    <w:p w14:paraId="736A6D8A" w14:textId="77777777" w:rsidR="00D1450A" w:rsidRPr="00D1450A" w:rsidRDefault="00D1450A" w:rsidP="00D1450A">
      <w:pPr>
        <w:rPr>
          <w:color w:val="747474" w:themeColor="background2" w:themeShade="80"/>
        </w:rPr>
      </w:pPr>
      <w:r w:rsidRPr="00D1450A">
        <w:rPr>
          <w:color w:val="747474" w:themeColor="background2" w:themeShade="80"/>
        </w:rPr>
        <w:t>I løbet af evalueringen har vi erfaret, at søvnappen ikke i sig selv er tilstrækkelig til at opnå den ønskede effekt blandt borgerne, som oprindeligt var antaget og en forudsætning for, at appen er omkostningseffektiv. For at sikre både anvendelse og effekt kræves der faglig understøttelse fra sundheds- eller fagprofessionelle. Det betyder, at appen bør ses som et supplement i et samlet forløb frem for en selvstændig løsning. </w:t>
      </w:r>
    </w:p>
    <w:p w14:paraId="54F941CA" w14:textId="11883269" w:rsidR="00D1450A" w:rsidRPr="00D1450A" w:rsidRDefault="00D1450A" w:rsidP="00D1450A">
      <w:pPr>
        <w:rPr>
          <w:color w:val="747474" w:themeColor="background2" w:themeShade="80"/>
        </w:rPr>
      </w:pPr>
      <w:r w:rsidRPr="00D1450A">
        <w:rPr>
          <w:color w:val="747474" w:themeColor="background2" w:themeShade="80"/>
        </w:rPr>
        <w:t xml:space="preserve">Denne indsigt medfører en ændring i den oprindelige business case, da der nu skal indregnes omkostninger til den nødvendige faglige støtte fx </w:t>
      </w:r>
      <w:r>
        <w:rPr>
          <w:color w:val="747474" w:themeColor="background2" w:themeShade="80"/>
        </w:rPr>
        <w:t>i</w:t>
      </w:r>
      <w:r w:rsidRPr="00D1450A">
        <w:rPr>
          <w:color w:val="747474" w:themeColor="background2" w:themeShade="80"/>
        </w:rPr>
        <w:t xml:space="preserve"> form af vejledning, opfølgning eller onboarding. Det har betydning for både implementeringsstrategi og økonomisk bæredygtighed og bør tages i betragtning ved videre skalering/implementering. </w:t>
      </w:r>
    </w:p>
    <w:p w14:paraId="795DC98E" w14:textId="77777777" w:rsidR="00D1450A" w:rsidRPr="00D1450A" w:rsidRDefault="00D1450A" w:rsidP="00D1450A">
      <w:pPr>
        <w:rPr>
          <w:color w:val="747474" w:themeColor="background2" w:themeShade="80"/>
        </w:rPr>
      </w:pPr>
      <w:r w:rsidRPr="00D1450A">
        <w:rPr>
          <w:color w:val="747474" w:themeColor="background2" w:themeShade="80"/>
        </w:rPr>
        <w:lastRenderedPageBreak/>
        <w:t>I den oprindelige business case så en implementeringsplan således ud: </w:t>
      </w:r>
    </w:p>
    <w:p w14:paraId="4B08C33A" w14:textId="77777777" w:rsidR="00D1450A" w:rsidRDefault="00D1450A" w:rsidP="00D1450A">
      <w:pPr>
        <w:rPr>
          <w:rFonts w:ascii="Arial" w:hAnsi="Arial" w:cs="Arial"/>
          <w:color w:val="747474" w:themeColor="background2" w:themeShade="80"/>
        </w:rPr>
      </w:pPr>
      <w:r w:rsidRPr="00D1450A">
        <w:rPr>
          <w:color w:val="747474" w:themeColor="background2" w:themeShade="80"/>
        </w:rPr>
        <w:t>Det estimeres, at hvert efterfølgende år kan antallet af borgere, der formodes at have fuld effekt af HVIL, øges med 10, som følge af implementeringsindsatsen.</w:t>
      </w:r>
      <w:r w:rsidRPr="00D1450A">
        <w:rPr>
          <w:rFonts w:ascii="Arial" w:hAnsi="Arial" w:cs="Arial"/>
          <w:color w:val="747474" w:themeColor="background2" w:themeShade="80"/>
        </w:rPr>
        <w:t>  </w:t>
      </w:r>
    </w:p>
    <w:p w14:paraId="050625EC" w14:textId="77777777" w:rsidR="00D1450A" w:rsidRDefault="00D1450A" w:rsidP="00D1450A">
      <w:pPr>
        <w:rPr>
          <w:rFonts w:ascii="Arial" w:hAnsi="Arial" w:cs="Arial"/>
          <w:color w:val="747474" w:themeColor="background2" w:themeShade="80"/>
        </w:rPr>
      </w:pPr>
    </w:p>
    <w:p w14:paraId="4BB35A33" w14:textId="77777777" w:rsidR="00D1450A" w:rsidRDefault="00D1450A" w:rsidP="00D1450A">
      <w:pPr>
        <w:rPr>
          <w:rFonts w:ascii="Arial" w:hAnsi="Arial" w:cs="Arial"/>
          <w:color w:val="747474" w:themeColor="background2" w:themeShade="80"/>
        </w:rPr>
      </w:pPr>
      <w:r>
        <w:rPr>
          <w:rFonts w:ascii="Arial" w:hAnsi="Arial" w:cs="Arial"/>
          <w:color w:val="747474" w:themeColor="background2" w:themeShade="80"/>
        </w:rPr>
        <w:t>Anbefalinger</w:t>
      </w:r>
    </w:p>
    <w:p w14:paraId="73BDD8E1" w14:textId="340D30C8" w:rsidR="00D1450A" w:rsidRPr="00D1450A" w:rsidRDefault="00D1450A" w:rsidP="00D1450A">
      <w:pPr>
        <w:rPr>
          <w:color w:val="747474" w:themeColor="background2" w:themeShade="80"/>
        </w:rPr>
      </w:pPr>
      <w:r w:rsidRPr="00D1450A">
        <w:rPr>
          <w:color w:val="747474" w:themeColor="background2" w:themeShade="80"/>
        </w:rPr>
        <w:t>Det anbefales overordnet, at evalueringen drøftes i den sundhedsfaglige styregruppe i Aarhus Kommune. Baggrunden er, at projektet har vist positive effekter på borgernes søvn og trivsel, men også peget på behovet for faglig opfølgning og organisatorisk forankring for at sikre varig værdi. En videre drøftelse i styregruppen vil kunne kvalificere beslutningen om, hvordan erfaringerne bedst kan anvendes og eventuelt skaleres på tværs af kommunen. </w:t>
      </w:r>
      <w:r>
        <w:rPr>
          <w:color w:val="747474" w:themeColor="background2" w:themeShade="80"/>
        </w:rPr>
        <w:t>HVIL-appen vurderes at have relevans for borgerne i MSB,</w:t>
      </w:r>
      <w:r w:rsidRPr="00D1450A">
        <w:rPr>
          <w:color w:val="747474" w:themeColor="background2" w:themeShade="80"/>
        </w:rPr>
        <w:t xml:space="preserve"> da søvn og trivsel har betydning for borgere </w:t>
      </w:r>
      <w:proofErr w:type="gramStart"/>
      <w:r w:rsidRPr="00D1450A">
        <w:rPr>
          <w:color w:val="747474" w:themeColor="background2" w:themeShade="80"/>
        </w:rPr>
        <w:t>i</w:t>
      </w:r>
      <w:proofErr w:type="gramEnd"/>
      <w:r w:rsidRPr="00D1450A">
        <w:rPr>
          <w:color w:val="747474" w:themeColor="background2" w:themeShade="80"/>
        </w:rPr>
        <w:t xml:space="preserve"> beskæftigelses- og socialindsatser. </w:t>
      </w:r>
    </w:p>
    <w:p w14:paraId="1E0A515C" w14:textId="318EBB47" w:rsidR="00D1450A" w:rsidRPr="00D1450A" w:rsidRDefault="00D1450A" w:rsidP="00D1450A">
      <w:pPr>
        <w:rPr>
          <w:color w:val="747474" w:themeColor="background2" w:themeShade="80"/>
        </w:rPr>
      </w:pPr>
      <w:r w:rsidRPr="00D1450A">
        <w:rPr>
          <w:rFonts w:ascii="Arial" w:hAnsi="Arial" w:cs="Arial"/>
          <w:color w:val="747474" w:themeColor="background2" w:themeShade="80"/>
        </w:rPr>
        <w:t> </w:t>
      </w:r>
      <w:r w:rsidRPr="00D1450A">
        <w:rPr>
          <w:color w:val="747474" w:themeColor="background2" w:themeShade="80"/>
        </w:rPr>
        <w:t> </w:t>
      </w:r>
    </w:p>
    <w:p w14:paraId="6902E3BD" w14:textId="77777777" w:rsidR="00D1450A" w:rsidRDefault="00D1450A"/>
    <w:sectPr w:rsidR="00D1450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C21F0"/>
    <w:multiLevelType w:val="multilevel"/>
    <w:tmpl w:val="4FA604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4506D5"/>
    <w:multiLevelType w:val="multilevel"/>
    <w:tmpl w:val="ABDA3E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B875DA"/>
    <w:multiLevelType w:val="multilevel"/>
    <w:tmpl w:val="EB909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724964"/>
    <w:multiLevelType w:val="multilevel"/>
    <w:tmpl w:val="AB265E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2793082">
    <w:abstractNumId w:val="2"/>
  </w:num>
  <w:num w:numId="2" w16cid:durableId="1875388302">
    <w:abstractNumId w:val="3"/>
  </w:num>
  <w:num w:numId="3" w16cid:durableId="542594238">
    <w:abstractNumId w:val="1"/>
  </w:num>
  <w:num w:numId="4" w16cid:durableId="199586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0A"/>
    <w:rsid w:val="00A94242"/>
    <w:rsid w:val="00D145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BDF7"/>
  <w15:chartTrackingRefBased/>
  <w15:docId w15:val="{4A5DE528-D67B-49E5-B7AA-9962E88F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14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14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1450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1450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1450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1450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1450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1450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1450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1450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1450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1450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1450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1450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1450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1450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1450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1450A"/>
    <w:rPr>
      <w:rFonts w:eastAsiaTheme="majorEastAsia" w:cstheme="majorBidi"/>
      <w:color w:val="272727" w:themeColor="text1" w:themeTint="D8"/>
    </w:rPr>
  </w:style>
  <w:style w:type="paragraph" w:styleId="Titel">
    <w:name w:val="Title"/>
    <w:basedOn w:val="Normal"/>
    <w:next w:val="Normal"/>
    <w:link w:val="TitelTegn"/>
    <w:uiPriority w:val="10"/>
    <w:qFormat/>
    <w:rsid w:val="00D14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1450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1450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1450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1450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1450A"/>
    <w:rPr>
      <w:i/>
      <w:iCs/>
      <w:color w:val="404040" w:themeColor="text1" w:themeTint="BF"/>
    </w:rPr>
  </w:style>
  <w:style w:type="paragraph" w:styleId="Listeafsnit">
    <w:name w:val="List Paragraph"/>
    <w:basedOn w:val="Normal"/>
    <w:uiPriority w:val="34"/>
    <w:qFormat/>
    <w:rsid w:val="00D1450A"/>
    <w:pPr>
      <w:ind w:left="720"/>
      <w:contextualSpacing/>
    </w:pPr>
  </w:style>
  <w:style w:type="character" w:styleId="Kraftigfremhvning">
    <w:name w:val="Intense Emphasis"/>
    <w:basedOn w:val="Standardskrifttypeiafsnit"/>
    <w:uiPriority w:val="21"/>
    <w:qFormat/>
    <w:rsid w:val="00D1450A"/>
    <w:rPr>
      <w:i/>
      <w:iCs/>
      <w:color w:val="0F4761" w:themeColor="accent1" w:themeShade="BF"/>
    </w:rPr>
  </w:style>
  <w:style w:type="paragraph" w:styleId="Strktcitat">
    <w:name w:val="Intense Quote"/>
    <w:basedOn w:val="Normal"/>
    <w:next w:val="Normal"/>
    <w:link w:val="StrktcitatTegn"/>
    <w:uiPriority w:val="30"/>
    <w:qFormat/>
    <w:rsid w:val="00D14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1450A"/>
    <w:rPr>
      <w:i/>
      <w:iCs/>
      <w:color w:val="0F4761" w:themeColor="accent1" w:themeShade="BF"/>
    </w:rPr>
  </w:style>
  <w:style w:type="character" w:styleId="Kraftighenvisning">
    <w:name w:val="Intense Reference"/>
    <w:basedOn w:val="Standardskrifttypeiafsnit"/>
    <w:uiPriority w:val="32"/>
    <w:qFormat/>
    <w:rsid w:val="00D145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415</Words>
  <Characters>2532</Characters>
  <Application>Microsoft Office Word</Application>
  <DocSecurity>0</DocSecurity>
  <Lines>21</Lines>
  <Paragraphs>5</Paragraphs>
  <ScaleCrop>false</ScaleCrop>
  <Company>Aarhus Kommune</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 Locht</dc:creator>
  <cp:keywords/>
  <dc:description/>
  <cp:lastModifiedBy>Ane Locht</cp:lastModifiedBy>
  <cp:revision>1</cp:revision>
  <dcterms:created xsi:type="dcterms:W3CDTF">2025-09-29T08:56:00Z</dcterms:created>
  <dcterms:modified xsi:type="dcterms:W3CDTF">2025-09-29T09:05:00Z</dcterms:modified>
</cp:coreProperties>
</file>